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684" w:rsidRPr="007F0684" w:rsidRDefault="007F0684" w:rsidP="007F0684">
      <w:pPr>
        <w:spacing w:before="372" w:after="94" w:line="314" w:lineRule="atLeast"/>
        <w:outlineLvl w:val="1"/>
        <w:rPr>
          <w:rFonts w:ascii="Arial" w:eastAsia="Times New Roman" w:hAnsi="Arial" w:cs="Arial"/>
          <w:b/>
          <w:bCs/>
          <w:color w:val="0054A6"/>
          <w:sz w:val="28"/>
          <w:szCs w:val="21"/>
        </w:rPr>
      </w:pPr>
      <w:r w:rsidRPr="007F0684">
        <w:rPr>
          <w:rFonts w:ascii="Arial" w:eastAsia="Times New Roman" w:hAnsi="Arial" w:cs="Arial"/>
          <w:b/>
          <w:bCs/>
          <w:color w:val="0054A6"/>
          <w:sz w:val="28"/>
          <w:szCs w:val="21"/>
        </w:rPr>
        <w:t>Recommended Security-Level Remittance Reporting Categories for Mortgage-Backed and Asset-Backed Securities</w:t>
      </w:r>
    </w:p>
    <w:p w:rsidR="007F0684" w:rsidRPr="007F0684" w:rsidRDefault="007F0684" w:rsidP="007F0684">
      <w:pPr>
        <w:spacing w:before="94" w:after="372" w:line="372" w:lineRule="atLeast"/>
        <w:rPr>
          <w:rFonts w:ascii="Arial" w:eastAsia="Times New Roman" w:hAnsi="Arial" w:cs="Arial"/>
          <w:color w:val="3D3E42"/>
          <w:sz w:val="21"/>
          <w:szCs w:val="21"/>
        </w:rPr>
      </w:pPr>
      <w:r w:rsidRPr="007F0684">
        <w:rPr>
          <w:rFonts w:ascii="Arial" w:eastAsia="Times New Roman" w:hAnsi="Arial" w:cs="Arial"/>
          <w:color w:val="3D3E42"/>
          <w:sz w:val="21"/>
          <w:szCs w:val="21"/>
        </w:rPr>
        <w:t> </w:t>
      </w:r>
    </w:p>
    <w:p w:rsidR="007F0684" w:rsidRPr="007F0684" w:rsidRDefault="007F0684" w:rsidP="007F0684">
      <w:pPr>
        <w:spacing w:before="94" w:after="372" w:line="372" w:lineRule="atLeast"/>
        <w:rPr>
          <w:rFonts w:ascii="Arial" w:eastAsia="Times New Roman" w:hAnsi="Arial" w:cs="Arial"/>
          <w:color w:val="3D3E42"/>
          <w:sz w:val="21"/>
          <w:szCs w:val="21"/>
        </w:rPr>
      </w:pPr>
      <w:r w:rsidRPr="007F0684">
        <w:rPr>
          <w:rFonts w:ascii="Arial" w:eastAsia="Times New Roman" w:hAnsi="Arial" w:cs="Arial"/>
          <w:color w:val="3D3E42"/>
          <w:sz w:val="21"/>
          <w:szCs w:val="21"/>
        </w:rPr>
        <w:t>The Association has adopted recommended minimum security-level remittance reporting categories, definitions and file layouts for mortgage-backed and asset-backed securities ("MBS" and "ABS", respectively). These reporting standards were developed and have been extensively commented on by various mortgage-related industry participants (i.e., customers, issuers, servicers, trustees, rating agencies and utilities), as well as various Association committees.</w:t>
      </w:r>
    </w:p>
    <w:p w:rsidR="007F0684" w:rsidRPr="007F0684" w:rsidRDefault="007F0684" w:rsidP="007F0684">
      <w:pPr>
        <w:spacing w:before="94" w:after="372" w:line="372" w:lineRule="atLeast"/>
        <w:rPr>
          <w:rFonts w:ascii="Arial" w:eastAsia="Times New Roman" w:hAnsi="Arial" w:cs="Arial"/>
          <w:color w:val="3D3E42"/>
          <w:sz w:val="21"/>
          <w:szCs w:val="21"/>
        </w:rPr>
      </w:pPr>
      <w:r w:rsidRPr="007F0684">
        <w:rPr>
          <w:rFonts w:ascii="Arial" w:eastAsia="Times New Roman" w:hAnsi="Arial" w:cs="Arial"/>
          <w:color w:val="3D3E42"/>
          <w:sz w:val="21"/>
          <w:szCs w:val="21"/>
        </w:rPr>
        <w:t>The Association's recommended security-level reporting categories are intended to increase the availability of those data elements which are essential to securities analysis, trade processing, clearance and settlement and payment functions. The reporting standards do not address collateral-level reporting. Although extremely important for security analysis, collateral-level reporting tends to be more heterogeneous in nature, making standardization more difficult to achieve. The proposed reporting categories are intended as</w:t>
      </w:r>
      <w:r w:rsidRPr="007F0684">
        <w:rPr>
          <w:rFonts w:ascii="Arial" w:eastAsia="Times New Roman" w:hAnsi="Arial" w:cs="Arial"/>
          <w:color w:val="3D3E42"/>
          <w:sz w:val="21"/>
        </w:rPr>
        <w:t> </w:t>
      </w:r>
      <w:r w:rsidRPr="007F0684">
        <w:rPr>
          <w:rFonts w:ascii="Arial" w:eastAsia="Times New Roman" w:hAnsi="Arial" w:cs="Arial"/>
          <w:i/>
          <w:iCs/>
          <w:color w:val="3D3E42"/>
          <w:sz w:val="21"/>
          <w:szCs w:val="21"/>
        </w:rPr>
        <w:t>minimum</w:t>
      </w:r>
      <w:r w:rsidRPr="007F0684">
        <w:rPr>
          <w:rFonts w:ascii="Arial" w:eastAsia="Times New Roman" w:hAnsi="Arial" w:cs="Arial"/>
          <w:color w:val="3D3E42"/>
          <w:sz w:val="21"/>
        </w:rPr>
        <w:t> </w:t>
      </w:r>
      <w:r w:rsidRPr="007F0684">
        <w:rPr>
          <w:rFonts w:ascii="Arial" w:eastAsia="Times New Roman" w:hAnsi="Arial" w:cs="Arial"/>
          <w:color w:val="3D3E42"/>
          <w:sz w:val="21"/>
          <w:szCs w:val="21"/>
        </w:rPr>
        <w:t>reporting items. Market participants are encouraged to supplement this data with other relevant categories of data.</w:t>
      </w:r>
    </w:p>
    <w:p w:rsidR="007F0684" w:rsidRPr="007F0684" w:rsidRDefault="007F0684" w:rsidP="007F0684">
      <w:pPr>
        <w:spacing w:before="94" w:after="372" w:line="372" w:lineRule="atLeast"/>
        <w:rPr>
          <w:rFonts w:ascii="Arial" w:eastAsia="Times New Roman" w:hAnsi="Arial" w:cs="Arial"/>
          <w:color w:val="3D3E42"/>
          <w:sz w:val="21"/>
          <w:szCs w:val="21"/>
        </w:rPr>
      </w:pPr>
      <w:r w:rsidRPr="007F0684">
        <w:rPr>
          <w:rFonts w:ascii="Arial" w:eastAsia="Times New Roman" w:hAnsi="Arial" w:cs="Arial"/>
          <w:color w:val="3D3E42"/>
          <w:sz w:val="21"/>
          <w:szCs w:val="21"/>
        </w:rPr>
        <w:t>To insure consistency in usage and application of the proposed reporting categories, the Association has developed proposed definitions for each category. In addition, to encourage further automation of the remittance reporting process, the Association has also developed proposed file layouts for each of the reporting categories.</w:t>
      </w:r>
    </w:p>
    <w:p w:rsidR="007F0684" w:rsidRPr="007F0684" w:rsidRDefault="007F0684" w:rsidP="007F0684">
      <w:pPr>
        <w:spacing w:before="94" w:after="372" w:line="372" w:lineRule="atLeast"/>
        <w:rPr>
          <w:rFonts w:ascii="Arial" w:eastAsia="Times New Roman" w:hAnsi="Arial" w:cs="Arial"/>
          <w:color w:val="3D3E42"/>
          <w:sz w:val="21"/>
          <w:szCs w:val="21"/>
        </w:rPr>
      </w:pPr>
      <w:r w:rsidRPr="007F0684">
        <w:rPr>
          <w:rFonts w:ascii="Arial" w:eastAsia="Times New Roman" w:hAnsi="Arial" w:cs="Arial"/>
          <w:color w:val="3D3E42"/>
          <w:sz w:val="21"/>
          <w:szCs w:val="21"/>
        </w:rPr>
        <w:t>These recommended reporting standards can also be found in the Uniform Practices manual, a compendium of industry guidelines. (This and other Association publications can be ordered from the website).</w:t>
      </w:r>
    </w:p>
    <w:p w:rsidR="007F0684" w:rsidRDefault="007F0684">
      <w:pPr>
        <w:rPr>
          <w:rFonts w:ascii="Arial" w:eastAsia="Times New Roman" w:hAnsi="Arial" w:cs="Arial"/>
          <w:b/>
          <w:bCs/>
          <w:color w:val="0054A6"/>
          <w:sz w:val="26"/>
          <w:szCs w:val="26"/>
        </w:rPr>
      </w:pPr>
      <w:bookmarkStart w:id="0" w:name="chart"/>
      <w:bookmarkEnd w:id="0"/>
      <w:r>
        <w:rPr>
          <w:rFonts w:ascii="Arial" w:eastAsia="Times New Roman" w:hAnsi="Arial" w:cs="Arial"/>
          <w:b/>
          <w:bCs/>
          <w:color w:val="0054A6"/>
          <w:sz w:val="26"/>
          <w:szCs w:val="26"/>
        </w:rPr>
        <w:br w:type="page"/>
      </w:r>
    </w:p>
    <w:p w:rsidR="007F0684" w:rsidRPr="007F0684" w:rsidRDefault="007F0684" w:rsidP="007F0684">
      <w:pPr>
        <w:spacing w:before="372" w:after="94" w:line="314" w:lineRule="atLeast"/>
        <w:outlineLvl w:val="3"/>
        <w:rPr>
          <w:rFonts w:ascii="Arial" w:eastAsia="Times New Roman" w:hAnsi="Arial" w:cs="Arial"/>
          <w:b/>
          <w:bCs/>
          <w:color w:val="0054A6"/>
          <w:sz w:val="26"/>
          <w:szCs w:val="26"/>
        </w:rPr>
      </w:pPr>
      <w:r w:rsidRPr="007F0684">
        <w:rPr>
          <w:rFonts w:ascii="Arial" w:eastAsia="Times New Roman" w:hAnsi="Arial" w:cs="Arial"/>
          <w:b/>
          <w:bCs/>
          <w:color w:val="0054A6"/>
          <w:sz w:val="26"/>
          <w:szCs w:val="26"/>
        </w:rPr>
        <w:lastRenderedPageBreak/>
        <w:t>Proposed MBS and ABS Security-Level Remittance Reporting Categories*</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789"/>
        <w:gridCol w:w="1706"/>
        <w:gridCol w:w="4133"/>
      </w:tblGrid>
      <w:tr w:rsidR="007F0684" w:rsidRPr="007F0684" w:rsidTr="007F068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b/>
                <w:bCs/>
                <w:sz w:val="21"/>
                <w:szCs w:val="21"/>
              </w:rPr>
              <w:t>Field</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b/>
                <w:bCs/>
                <w:sz w:val="21"/>
                <w:szCs w:val="21"/>
              </w:rPr>
              <w:t>Data Field</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b/>
                <w:bCs/>
                <w:sz w:val="21"/>
                <w:szCs w:val="21"/>
              </w:rPr>
              <w:t>Definition</w:t>
            </w:r>
          </w:p>
        </w:tc>
      </w:tr>
      <w:tr w:rsidR="007F0684" w:rsidRPr="007F0684" w:rsidTr="007F068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CUSIP</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A/N-9</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The security identification code assigned to each class of securities by the Committee on Uniform Securities Identification Procedures (CUSIP) Bureau of Standard &amp; Poor's.</w:t>
            </w:r>
          </w:p>
        </w:tc>
      </w:tr>
      <w:tr w:rsidR="007F0684" w:rsidRPr="007F0684" w:rsidTr="007F068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Transaction Name</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A/N-75</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Common name by which an MBS or ABS offering is known.</w:t>
            </w:r>
          </w:p>
        </w:tc>
      </w:tr>
      <w:tr w:rsidR="007F0684" w:rsidRPr="007F0684" w:rsidTr="007F068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Security Class Name</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A/N-5</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The designation (typically a letter and/or number) given to a tranche of securities that exhibit the same rights, priorities and characteristics.</w:t>
            </w:r>
          </w:p>
        </w:tc>
      </w:tr>
      <w:tr w:rsidR="007F0684" w:rsidRPr="007F0684" w:rsidTr="007F068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Distribution Date/Payment Date</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N-10</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The periodic date on which distributions to holders of securities are scheduled to occur.</w:t>
            </w:r>
          </w:p>
        </w:tc>
      </w:tr>
      <w:tr w:rsidR="007F0684" w:rsidRPr="007F0684" w:rsidTr="007F068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Revision Date (if applicable)</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N-10</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If amended, the date that the revised remittance report was issued.</w:t>
            </w:r>
          </w:p>
        </w:tc>
      </w:tr>
      <w:tr w:rsidR="007F0684" w:rsidRPr="007F0684" w:rsidTr="007F068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Accrual Beginning Date</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N-10</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 xml:space="preserve">The date for determining the start of the accounting period for calculating interest </w:t>
            </w:r>
            <w:r w:rsidRPr="007F0684">
              <w:rPr>
                <w:rFonts w:ascii="Arial" w:eastAsia="Times New Roman" w:hAnsi="Arial" w:cs="Arial"/>
                <w:sz w:val="21"/>
                <w:szCs w:val="21"/>
              </w:rPr>
              <w:lastRenderedPageBreak/>
              <w:t>earned.</w:t>
            </w:r>
          </w:p>
        </w:tc>
      </w:tr>
      <w:tr w:rsidR="007F0684" w:rsidRPr="007F0684" w:rsidTr="007F068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lastRenderedPageBreak/>
              <w:t>Accrual Ending Date</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N-10</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The date for determining the end of the accounting period for calculating interest earned.</w:t>
            </w:r>
          </w:p>
        </w:tc>
      </w:tr>
      <w:tr w:rsidR="007F0684" w:rsidRPr="007F0684" w:rsidTr="007F068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Record Date</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N-10</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The date on which registered holders of securities are determined for the purpose of making distributions to such registered holders on the next succeeding distribution date.</w:t>
            </w:r>
          </w:p>
        </w:tc>
      </w:tr>
      <w:tr w:rsidR="007F0684" w:rsidRPr="007F0684" w:rsidTr="007F068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Determination Date</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N-10</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The periodic date on which all scheduled remittances to registered holders of securities are determined.</w:t>
            </w:r>
          </w:p>
        </w:tc>
      </w:tr>
      <w:tr w:rsidR="007F0684" w:rsidRPr="007F0684" w:rsidTr="007F068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Total Original Balance</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N-15</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The initial par or notional balance of a security.</w:t>
            </w:r>
          </w:p>
        </w:tc>
      </w:tr>
      <w:tr w:rsidR="007F0684" w:rsidRPr="007F0684" w:rsidTr="007F068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Total Beginning Balance Prior to Distribution</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N-15</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The par or notional balance of a security after the immediately preceding distribution.</w:t>
            </w:r>
          </w:p>
        </w:tc>
      </w:tr>
      <w:tr w:rsidR="007F0684" w:rsidRPr="007F0684" w:rsidTr="007F068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Total Ending Balance Subsequent to Distribution</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N-15</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The par or notional balance of a security after current distributions.</w:t>
            </w:r>
          </w:p>
        </w:tc>
      </w:tr>
      <w:tr w:rsidR="007F0684" w:rsidRPr="007F0684" w:rsidTr="007F068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lastRenderedPageBreak/>
              <w:t>Total Principal Distributions</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N-15</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The total amount of principal paid on a security for the current distribution date.</w:t>
            </w:r>
          </w:p>
        </w:tc>
      </w:tr>
      <w:tr w:rsidR="007F0684" w:rsidRPr="007F0684" w:rsidTr="007F068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Total Interest Distributions</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N-15</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The total amount of interest paid on a security for the current distribution date.</w:t>
            </w:r>
          </w:p>
        </w:tc>
      </w:tr>
      <w:tr w:rsidR="007F0684" w:rsidRPr="007F0684" w:rsidTr="007F068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Total Principal and Interest Distributions</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N-15</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The combined total of principal and interest paid on a security for the current distribution date.</w:t>
            </w:r>
          </w:p>
        </w:tc>
      </w:tr>
      <w:tr w:rsidR="007F0684" w:rsidRPr="007F0684" w:rsidTr="007F068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Total Scheduled Principal</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N-15</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The total amount of principal scheduled to be paid on a security for the current distribution period.</w:t>
            </w:r>
          </w:p>
        </w:tc>
      </w:tr>
      <w:tr w:rsidR="007F0684" w:rsidRPr="007F0684" w:rsidTr="007F068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Accrual Rate</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N-6</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The rate of accrual of interest for current distribution period.</w:t>
            </w:r>
          </w:p>
        </w:tc>
      </w:tr>
      <w:tr w:rsidR="007F0684" w:rsidRPr="007F0684" w:rsidTr="007F068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Total Interest Accrued</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N-15</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 xml:space="preserve">The total amount of </w:t>
            </w:r>
            <w:proofErr w:type="spellStart"/>
            <w:r w:rsidRPr="007F0684">
              <w:rPr>
                <w:rFonts w:ascii="Arial" w:eastAsia="Times New Roman" w:hAnsi="Arial" w:cs="Arial"/>
                <w:sz w:val="21"/>
                <w:szCs w:val="21"/>
              </w:rPr>
              <w:t>interst</w:t>
            </w:r>
            <w:proofErr w:type="spellEnd"/>
            <w:r w:rsidRPr="007F0684">
              <w:rPr>
                <w:rFonts w:ascii="Arial" w:eastAsia="Times New Roman" w:hAnsi="Arial" w:cs="Arial"/>
                <w:sz w:val="21"/>
                <w:szCs w:val="21"/>
              </w:rPr>
              <w:t xml:space="preserve"> accrued for the accrual period covered by the distribution report.</w:t>
            </w:r>
          </w:p>
        </w:tc>
      </w:tr>
      <w:tr w:rsidR="007F0684" w:rsidRPr="007F0684" w:rsidTr="007F068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Beginning Principal Factor</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N-12</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The fraction (expressed as a percentage) created by dividing the remaining principal balance of a security as of the end of the previous accrual period by the total original balance of the security.</w:t>
            </w:r>
          </w:p>
        </w:tc>
      </w:tr>
      <w:tr w:rsidR="007F0684" w:rsidRPr="007F0684" w:rsidTr="007F068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lastRenderedPageBreak/>
              <w:t>Ending Principal Factor</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N-12</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The fraction (expressed as a percentage) created by dividing the remaining principal balance of a security as of the end of the current accrual period by the original principal balance of the security.</w:t>
            </w:r>
          </w:p>
        </w:tc>
      </w:tr>
      <w:tr w:rsidR="007F0684" w:rsidRPr="007F0684" w:rsidTr="007F068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Current Interest Shortfall (if applicable)</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N-15</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The excess of interest accrued on a security over interest actually collected on the underlying loans for the current accrual period.</w:t>
            </w:r>
          </w:p>
        </w:tc>
      </w:tr>
      <w:tr w:rsidR="007F0684" w:rsidRPr="007F0684" w:rsidTr="007F068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Cumulative Interest Shortfall (if applicable)</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N-15</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The cumulative amount of interest shortfalls on a security for the current and all previous accrual periods.</w:t>
            </w:r>
          </w:p>
        </w:tc>
      </w:tr>
      <w:tr w:rsidR="007F0684" w:rsidRPr="007F0684" w:rsidTr="007F068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Non-Supported Interest Shortfall (if applicable)</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N-15</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The excess of interest accrued on a security over the sum of the interest actually collected on the underlying loans plus any servicer advances to cover interest shortfalls for the current accrual period.</w:t>
            </w:r>
          </w:p>
        </w:tc>
      </w:tr>
      <w:tr w:rsidR="007F0684" w:rsidRPr="007F0684" w:rsidTr="007F068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Cumulative Non-Supported Interest Shortfall (if applicable)</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N-15</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The cumulative amount of non-supported interest shortfalls on a security for the current and all previous accrual periods.</w:t>
            </w:r>
          </w:p>
        </w:tc>
      </w:tr>
      <w:tr w:rsidR="007F0684" w:rsidRPr="007F0684" w:rsidTr="007F068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Realized Loss</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N-15</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 xml:space="preserve">The amount of principal collected less than the scheduled principal </w:t>
            </w:r>
            <w:proofErr w:type="spellStart"/>
            <w:r w:rsidRPr="007F0684">
              <w:rPr>
                <w:rFonts w:ascii="Arial" w:eastAsia="Times New Roman" w:hAnsi="Arial" w:cs="Arial"/>
                <w:sz w:val="21"/>
                <w:szCs w:val="21"/>
              </w:rPr>
              <w:t>disribution</w:t>
            </w:r>
            <w:proofErr w:type="spellEnd"/>
            <w:r w:rsidRPr="007F0684">
              <w:rPr>
                <w:rFonts w:ascii="Arial" w:eastAsia="Times New Roman" w:hAnsi="Arial" w:cs="Arial"/>
                <w:sz w:val="21"/>
                <w:szCs w:val="21"/>
              </w:rPr>
              <w:t xml:space="preserve"> </w:t>
            </w:r>
            <w:r w:rsidRPr="007F0684">
              <w:rPr>
                <w:rFonts w:ascii="Arial" w:eastAsia="Times New Roman" w:hAnsi="Arial" w:cs="Arial"/>
                <w:sz w:val="21"/>
                <w:szCs w:val="21"/>
              </w:rPr>
              <w:lastRenderedPageBreak/>
              <w:t>for that security for the current accrual period.</w:t>
            </w:r>
          </w:p>
        </w:tc>
      </w:tr>
      <w:tr w:rsidR="007F0684" w:rsidRPr="007F0684" w:rsidTr="007F068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lastRenderedPageBreak/>
              <w:t>Cumulative Realized Losses</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N-15</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The cumulative amount of principal collected less than the scheduled distribution for that security for the current accrual period.</w:t>
            </w:r>
          </w:p>
        </w:tc>
      </w:tr>
      <w:tr w:rsidR="007F0684" w:rsidRPr="007F0684" w:rsidTr="007F068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Realized Gain</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N-15</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The amount of principal collected in excess of the scheduled principal distribution for that security for the current accrual period.</w:t>
            </w:r>
          </w:p>
        </w:tc>
      </w:tr>
      <w:tr w:rsidR="007F0684" w:rsidRPr="007F0684" w:rsidTr="007F068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Negative Amortization</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N-15</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The amount of unpaid interest accrued and added to the principal balance of a security for the specified period.</w:t>
            </w:r>
          </w:p>
        </w:tc>
      </w:tr>
      <w:tr w:rsidR="007F0684" w:rsidRPr="007F0684" w:rsidTr="007F068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Servicer Advances</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N-15</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An advance of funds to satisfy scheduled borrower payments when the borrower fails to make timely payment.</w:t>
            </w:r>
          </w:p>
        </w:tc>
      </w:tr>
      <w:tr w:rsidR="007F0684" w:rsidRPr="007F0684" w:rsidTr="007F068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Penalties</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N-15</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The amount of penalty fees passed through to the investor, including but not limited to prepayment penalties.</w:t>
            </w:r>
          </w:p>
        </w:tc>
      </w:tr>
      <w:tr w:rsidR="007F0684" w:rsidRPr="007F0684" w:rsidTr="007F068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Yield Maintenance</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N-9</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 xml:space="preserve">Payments paid or payable as the result of principal prepayment to compensate the </w:t>
            </w:r>
            <w:r w:rsidRPr="007F0684">
              <w:rPr>
                <w:rFonts w:ascii="Arial" w:eastAsia="Times New Roman" w:hAnsi="Arial" w:cs="Arial"/>
                <w:sz w:val="21"/>
                <w:szCs w:val="21"/>
              </w:rPr>
              <w:lastRenderedPageBreak/>
              <w:t>security holder for reinvestment loss.</w:t>
            </w:r>
          </w:p>
        </w:tc>
      </w:tr>
      <w:tr w:rsidR="007F0684" w:rsidRPr="007F0684" w:rsidTr="007F068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lastRenderedPageBreak/>
              <w:t>Pass-Through Rate/Interest Rate</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N-8</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The coupon rate of interest on a specific class of securities.</w:t>
            </w:r>
          </w:p>
        </w:tc>
      </w:tr>
      <w:tr w:rsidR="007F0684" w:rsidRPr="007F0684" w:rsidTr="007F068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Reset Rate (if applicable)</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N-6</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The interest rate on a floating rate security determined on a periodic basis, which is used to calculate interest for the next accrual period.</w:t>
            </w:r>
          </w:p>
        </w:tc>
      </w:tr>
      <w:tr w:rsidR="007F0684" w:rsidRPr="007F0684" w:rsidTr="007F068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Reset Rate Effective Date (if applicable)</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N-10</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The date on which the reset rate becomes effective.</w:t>
            </w:r>
          </w:p>
        </w:tc>
      </w:tr>
      <w:tr w:rsidR="007F0684" w:rsidRPr="007F0684" w:rsidTr="007F068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Available Credit Enhancement/Reserves</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N-15</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The outstanding amount of credit enhancement as of the prior distribution date.</w:t>
            </w:r>
          </w:p>
        </w:tc>
      </w:tr>
      <w:tr w:rsidR="007F0684" w:rsidRPr="007F0684" w:rsidTr="007F068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Draws from Credit Enhancement/Reserves (specify type of credit enhancements used e.g., Reserve Fund, Pool Issuance, Excess Spread, etc.)</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N-15</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The amount of credit enhancement deducted from the available credit enhancement as of the current distribution date.</w:t>
            </w:r>
          </w:p>
        </w:tc>
      </w:tr>
      <w:tr w:rsidR="007F0684" w:rsidRPr="007F0684" w:rsidTr="007F068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Accrual Period</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N-3</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Number of days in an accrual cycle for the current distribution period.</w:t>
            </w:r>
          </w:p>
        </w:tc>
      </w:tr>
      <w:tr w:rsidR="007F0684" w:rsidRPr="007F0684" w:rsidTr="007F068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lastRenderedPageBreak/>
              <w:t>Look-Back Period</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N-2</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The index publication date used for calculating the interest rate for the current interest accrual period.</w:t>
            </w:r>
          </w:p>
        </w:tc>
      </w:tr>
      <w:tr w:rsidR="007F0684" w:rsidRPr="007F0684" w:rsidTr="007F068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Interest Calculation</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Choose appropriate alpha code from definitions</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numPr>
                <w:ilvl w:val="0"/>
                <w:numId w:val="1"/>
              </w:numPr>
              <w:spacing w:before="94" w:after="94" w:line="372" w:lineRule="atLeast"/>
              <w:rPr>
                <w:rFonts w:ascii="Arial" w:eastAsia="Times New Roman" w:hAnsi="Arial" w:cs="Arial"/>
                <w:sz w:val="21"/>
                <w:szCs w:val="21"/>
              </w:rPr>
            </w:pPr>
            <w:r w:rsidRPr="007F0684">
              <w:rPr>
                <w:rFonts w:ascii="Arial" w:eastAsia="Times New Roman" w:hAnsi="Arial" w:cs="Arial"/>
                <w:sz w:val="21"/>
                <w:szCs w:val="21"/>
              </w:rPr>
              <w:t>30/360</w:t>
            </w:r>
          </w:p>
          <w:p w:rsidR="007F0684" w:rsidRPr="007F0684" w:rsidRDefault="007F0684" w:rsidP="007F0684">
            <w:pPr>
              <w:numPr>
                <w:ilvl w:val="0"/>
                <w:numId w:val="1"/>
              </w:numPr>
              <w:spacing w:before="94" w:after="94" w:line="372" w:lineRule="atLeast"/>
              <w:ind w:left="240" w:hanging="360"/>
              <w:rPr>
                <w:rFonts w:ascii="Arial" w:eastAsia="Times New Roman" w:hAnsi="Arial" w:cs="Arial"/>
                <w:sz w:val="21"/>
                <w:szCs w:val="21"/>
              </w:rPr>
            </w:pPr>
            <w:r w:rsidRPr="007F0684">
              <w:rPr>
                <w:rFonts w:ascii="Arial" w:eastAsia="Times New Roman" w:hAnsi="Arial" w:cs="Arial"/>
                <w:sz w:val="21"/>
                <w:szCs w:val="21"/>
              </w:rPr>
              <w:t>ACTUAL/360</w:t>
            </w:r>
          </w:p>
          <w:p w:rsidR="007F0684" w:rsidRPr="007F0684" w:rsidRDefault="007F0684" w:rsidP="007F0684">
            <w:pPr>
              <w:numPr>
                <w:ilvl w:val="0"/>
                <w:numId w:val="1"/>
              </w:numPr>
              <w:spacing w:before="94" w:after="94" w:line="372" w:lineRule="atLeast"/>
              <w:ind w:left="240" w:hanging="360"/>
              <w:rPr>
                <w:rFonts w:ascii="Arial" w:eastAsia="Times New Roman" w:hAnsi="Arial" w:cs="Arial"/>
                <w:sz w:val="21"/>
                <w:szCs w:val="21"/>
              </w:rPr>
            </w:pPr>
            <w:r w:rsidRPr="007F0684">
              <w:rPr>
                <w:rFonts w:ascii="Arial" w:eastAsia="Times New Roman" w:hAnsi="Arial" w:cs="Arial"/>
                <w:sz w:val="21"/>
                <w:szCs w:val="21"/>
              </w:rPr>
              <w:t>30/ACTUAL</w:t>
            </w:r>
          </w:p>
          <w:p w:rsidR="007F0684" w:rsidRPr="007F0684" w:rsidRDefault="007F0684" w:rsidP="007F0684">
            <w:pPr>
              <w:numPr>
                <w:ilvl w:val="0"/>
                <w:numId w:val="1"/>
              </w:numPr>
              <w:spacing w:before="94" w:after="94" w:line="372" w:lineRule="atLeast"/>
              <w:ind w:left="240" w:hanging="360"/>
              <w:rPr>
                <w:rFonts w:ascii="Arial" w:eastAsia="Times New Roman" w:hAnsi="Arial" w:cs="Arial"/>
                <w:sz w:val="21"/>
                <w:szCs w:val="21"/>
              </w:rPr>
            </w:pPr>
            <w:r w:rsidRPr="007F0684">
              <w:rPr>
                <w:rFonts w:ascii="Arial" w:eastAsia="Times New Roman" w:hAnsi="Arial" w:cs="Arial"/>
                <w:sz w:val="21"/>
                <w:szCs w:val="21"/>
              </w:rPr>
              <w:t>ACTUAL/ACTUAL</w:t>
            </w:r>
          </w:p>
          <w:p w:rsidR="007F0684" w:rsidRPr="007F0684" w:rsidRDefault="007F0684" w:rsidP="007F0684">
            <w:pPr>
              <w:numPr>
                <w:ilvl w:val="0"/>
                <w:numId w:val="1"/>
              </w:numPr>
              <w:spacing w:before="94" w:after="94" w:line="372" w:lineRule="atLeast"/>
              <w:ind w:left="240" w:hanging="360"/>
              <w:rPr>
                <w:rFonts w:ascii="Arial" w:eastAsia="Times New Roman" w:hAnsi="Arial" w:cs="Arial"/>
                <w:sz w:val="21"/>
                <w:szCs w:val="21"/>
              </w:rPr>
            </w:pPr>
            <w:r w:rsidRPr="007F0684">
              <w:rPr>
                <w:rFonts w:ascii="Arial" w:eastAsia="Times New Roman" w:hAnsi="Arial" w:cs="Arial"/>
                <w:sz w:val="21"/>
                <w:szCs w:val="21"/>
              </w:rPr>
              <w:t>ACTUAL365</w:t>
            </w:r>
          </w:p>
          <w:p w:rsidR="007F0684" w:rsidRPr="007F0684" w:rsidRDefault="007F0684" w:rsidP="007F0684">
            <w:pPr>
              <w:numPr>
                <w:ilvl w:val="0"/>
                <w:numId w:val="1"/>
              </w:numPr>
              <w:spacing w:before="94" w:after="94" w:line="372" w:lineRule="atLeast"/>
              <w:rPr>
                <w:rFonts w:ascii="Arial" w:eastAsia="Times New Roman" w:hAnsi="Arial" w:cs="Arial"/>
                <w:sz w:val="21"/>
                <w:szCs w:val="21"/>
              </w:rPr>
            </w:pPr>
            <w:r w:rsidRPr="007F0684">
              <w:rPr>
                <w:rFonts w:ascii="Arial" w:eastAsia="Times New Roman" w:hAnsi="Arial" w:cs="Arial"/>
                <w:sz w:val="21"/>
                <w:szCs w:val="21"/>
              </w:rPr>
              <w:t>ACTUAL/366</w:t>
            </w:r>
          </w:p>
        </w:tc>
      </w:tr>
      <w:tr w:rsidR="007F0684" w:rsidRPr="007F0684" w:rsidTr="007F068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Trustee Name</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A/N-20</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The name of the entity acting in a fiduciary capacity as trustee for the benefit of security holders.</w:t>
            </w:r>
          </w:p>
        </w:tc>
      </w:tr>
      <w:tr w:rsidR="007F0684" w:rsidRPr="007F0684" w:rsidTr="007F068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Trustee Website</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A/N-100</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Website address of the Trustee.</w:t>
            </w:r>
          </w:p>
        </w:tc>
      </w:tr>
      <w:tr w:rsidR="007F0684" w:rsidRPr="007F0684" w:rsidTr="007F068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Trustee Contact Name</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A-20</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Name of principal contact person in the office of the Trustee.</w:t>
            </w:r>
          </w:p>
        </w:tc>
      </w:tr>
      <w:tr w:rsidR="007F0684" w:rsidRPr="007F0684" w:rsidTr="007F068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Trustee Telephone Number</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N-10</w:t>
            </w:r>
          </w:p>
        </w:tc>
        <w:tc>
          <w:tcPr>
            <w:tcW w:w="0" w:type="auto"/>
            <w:tcBorders>
              <w:top w:val="outset" w:sz="6" w:space="0" w:color="auto"/>
              <w:left w:val="outset" w:sz="6" w:space="0" w:color="auto"/>
              <w:bottom w:val="outset" w:sz="6" w:space="0" w:color="auto"/>
              <w:right w:val="outset" w:sz="6" w:space="0" w:color="auto"/>
            </w:tcBorders>
            <w:hideMark/>
          </w:tcPr>
          <w:p w:rsidR="007F0684" w:rsidRPr="007F0684" w:rsidRDefault="007F0684" w:rsidP="007F0684">
            <w:pPr>
              <w:spacing w:before="94" w:after="372" w:line="372" w:lineRule="atLeast"/>
              <w:rPr>
                <w:rFonts w:ascii="Arial" w:eastAsia="Times New Roman" w:hAnsi="Arial" w:cs="Arial"/>
                <w:sz w:val="21"/>
                <w:szCs w:val="21"/>
              </w:rPr>
            </w:pPr>
            <w:r w:rsidRPr="007F0684">
              <w:rPr>
                <w:rFonts w:ascii="Arial" w:eastAsia="Times New Roman" w:hAnsi="Arial" w:cs="Arial"/>
                <w:sz w:val="21"/>
                <w:szCs w:val="21"/>
              </w:rPr>
              <w:t>The telephone number of the Trustee contact person.</w:t>
            </w:r>
          </w:p>
        </w:tc>
      </w:tr>
    </w:tbl>
    <w:p w:rsidR="001C243B" w:rsidRDefault="001C243B" w:rsidP="007F0684">
      <w:pPr>
        <w:spacing w:after="0" w:line="240" w:lineRule="auto"/>
        <w:rPr>
          <w:rFonts w:ascii="Arial" w:eastAsia="Times New Roman" w:hAnsi="Arial" w:cs="Arial"/>
          <w:color w:val="3D3E42"/>
          <w:sz w:val="24"/>
          <w:szCs w:val="24"/>
        </w:rPr>
      </w:pPr>
    </w:p>
    <w:p w:rsidR="007F0684" w:rsidRPr="007F0684" w:rsidRDefault="007F0684" w:rsidP="007F0684">
      <w:pPr>
        <w:spacing w:after="0" w:line="240" w:lineRule="auto"/>
        <w:rPr>
          <w:rFonts w:ascii="Arial" w:eastAsia="Times New Roman" w:hAnsi="Arial" w:cs="Arial"/>
          <w:color w:val="3D3E42"/>
          <w:sz w:val="24"/>
          <w:szCs w:val="24"/>
        </w:rPr>
      </w:pPr>
      <w:r w:rsidRPr="007F0684">
        <w:rPr>
          <w:rFonts w:ascii="Arial" w:eastAsia="Times New Roman" w:hAnsi="Arial" w:cs="Arial"/>
          <w:color w:val="3D3E42"/>
          <w:sz w:val="24"/>
          <w:szCs w:val="24"/>
        </w:rPr>
        <w:t>*Note that all relevant measures should be expressed on a "per certificate" basis, which is an expression of the value of a field computed for a certificate having a $1,000 face amount.</w:t>
      </w:r>
    </w:p>
    <w:p w:rsidR="007F0684" w:rsidRPr="007F0684" w:rsidRDefault="007F0684" w:rsidP="007F0684">
      <w:pPr>
        <w:spacing w:before="94" w:after="372" w:line="372" w:lineRule="atLeast"/>
        <w:rPr>
          <w:rFonts w:ascii="Times New Roman" w:eastAsia="Times New Roman" w:hAnsi="Times New Roman" w:cs="Times New Roman"/>
          <w:sz w:val="21"/>
          <w:szCs w:val="21"/>
        </w:rPr>
      </w:pPr>
      <w:r w:rsidRPr="007F0684">
        <w:rPr>
          <w:rFonts w:ascii="Arial" w:eastAsia="Times New Roman" w:hAnsi="Arial" w:cs="Arial"/>
          <w:color w:val="3D3E42"/>
          <w:sz w:val="21"/>
          <w:szCs w:val="21"/>
        </w:rPr>
        <w:t> </w:t>
      </w:r>
    </w:p>
    <w:p w:rsidR="0060040B" w:rsidRDefault="0060040B"/>
    <w:sectPr w:rsidR="0060040B" w:rsidSect="0060040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43B" w:rsidRDefault="001C243B" w:rsidP="001C243B">
      <w:pPr>
        <w:spacing w:after="0" w:line="240" w:lineRule="auto"/>
      </w:pPr>
      <w:r>
        <w:separator/>
      </w:r>
    </w:p>
  </w:endnote>
  <w:endnote w:type="continuationSeparator" w:id="0">
    <w:p w:rsidR="001C243B" w:rsidRDefault="001C243B" w:rsidP="001C24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43B" w:rsidRDefault="001C243B" w:rsidP="001C243B">
      <w:pPr>
        <w:spacing w:after="0" w:line="240" w:lineRule="auto"/>
      </w:pPr>
      <w:r>
        <w:separator/>
      </w:r>
    </w:p>
  </w:footnote>
  <w:footnote w:type="continuationSeparator" w:id="0">
    <w:p w:rsidR="001C243B" w:rsidRDefault="001C243B" w:rsidP="001C24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43B" w:rsidRDefault="001C243B">
    <w:pPr>
      <w:pStyle w:val="Header"/>
    </w:pPr>
    <w:r>
      <w:rPr>
        <w:noProof/>
      </w:rPr>
      <w:drawing>
        <wp:inline distT="0" distB="0" distL="0" distR="0">
          <wp:extent cx="1722120" cy="546100"/>
          <wp:effectExtent l="19050" t="0" r="0" b="0"/>
          <wp:docPr id="1" name="Picture 1" descr="SIF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FMA"/>
                  <pic:cNvPicPr>
                    <a:picLocks noChangeAspect="1" noChangeArrowheads="1"/>
                  </pic:cNvPicPr>
                </pic:nvPicPr>
                <pic:blipFill>
                  <a:blip r:embed="rId1"/>
                  <a:srcRect/>
                  <a:stretch>
                    <a:fillRect/>
                  </a:stretch>
                </pic:blipFill>
                <pic:spPr bwMode="auto">
                  <a:xfrm>
                    <a:off x="0" y="0"/>
                    <a:ext cx="1722120" cy="5461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82CB4"/>
    <w:multiLevelType w:val="multilevel"/>
    <w:tmpl w:val="5B1E04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7F0684"/>
    <w:rsid w:val="001C243B"/>
    <w:rsid w:val="0060040B"/>
    <w:rsid w:val="007F06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40B"/>
  </w:style>
  <w:style w:type="paragraph" w:styleId="Heading1">
    <w:name w:val="heading 1"/>
    <w:basedOn w:val="Normal"/>
    <w:link w:val="Heading1Char"/>
    <w:uiPriority w:val="9"/>
    <w:qFormat/>
    <w:rsid w:val="007F06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F06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F068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68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F068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F0684"/>
    <w:rPr>
      <w:rFonts w:ascii="Times New Roman" w:eastAsia="Times New Roman" w:hAnsi="Times New Roman" w:cs="Times New Roman"/>
      <w:b/>
      <w:bCs/>
      <w:sz w:val="24"/>
      <w:szCs w:val="24"/>
    </w:rPr>
  </w:style>
  <w:style w:type="character" w:customStyle="1" w:styleId="apple-style-span">
    <w:name w:val="apple-style-span"/>
    <w:basedOn w:val="DefaultParagraphFont"/>
    <w:rsid w:val="007F0684"/>
  </w:style>
  <w:style w:type="paragraph" w:styleId="NormalWeb">
    <w:name w:val="Normal (Web)"/>
    <w:basedOn w:val="Normal"/>
    <w:uiPriority w:val="99"/>
    <w:unhideWhenUsed/>
    <w:rsid w:val="007F06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0684"/>
  </w:style>
  <w:style w:type="paragraph" w:styleId="Header">
    <w:name w:val="header"/>
    <w:basedOn w:val="Normal"/>
    <w:link w:val="HeaderChar"/>
    <w:uiPriority w:val="99"/>
    <w:semiHidden/>
    <w:unhideWhenUsed/>
    <w:rsid w:val="001C24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243B"/>
  </w:style>
  <w:style w:type="paragraph" w:styleId="Footer">
    <w:name w:val="footer"/>
    <w:basedOn w:val="Normal"/>
    <w:link w:val="FooterChar"/>
    <w:uiPriority w:val="99"/>
    <w:semiHidden/>
    <w:unhideWhenUsed/>
    <w:rsid w:val="001C24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243B"/>
  </w:style>
  <w:style w:type="paragraph" w:styleId="BalloonText">
    <w:name w:val="Balloon Text"/>
    <w:basedOn w:val="Normal"/>
    <w:link w:val="BalloonTextChar"/>
    <w:uiPriority w:val="99"/>
    <w:semiHidden/>
    <w:unhideWhenUsed/>
    <w:rsid w:val="001C2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4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46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1205</Words>
  <Characters>6873</Characters>
  <Application>Microsoft Office Word</Application>
  <DocSecurity>0</DocSecurity>
  <Lines>57</Lines>
  <Paragraphs>16</Paragraphs>
  <ScaleCrop>false</ScaleCrop>
  <Company>SIFMA</Company>
  <LinksUpToDate>false</LinksUpToDate>
  <CharactersWithSpaces>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Zickel, Kate</dc:creator>
  <cp:keywords/>
  <dc:description/>
  <cp:lastModifiedBy>Zickel, Kate</cp:lastModifiedBy>
  <cp:revision>2</cp:revision>
  <dcterms:created xsi:type="dcterms:W3CDTF">2010-10-12T17:59:00Z</dcterms:created>
  <dcterms:modified xsi:type="dcterms:W3CDTF">2010-10-12T18:01:00Z</dcterms:modified>
</cp:coreProperties>
</file>